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49</w:t>
      </w:r>
    </w:p>
    <w:p>
      <w:r>
        <w:t>Bundesgericht (BGE), 2001-12-20, FR</w:t>
      </w:r>
    </w:p>
    <w:p>
      <w:r>
        <w:rPr>
          <w:b/>
        </w:rPr>
        <w:t xml:space="preserve">Quelle: </w:t>
      </w:r>
      <w:r>
        <w:t>https://mcp.opencaselaw.ch/entscheid/bge_128 II 49</w:t>
      </w:r>
    </w:p>
    <w:p>
      <w:r>
        <w:t>FR: ATF 128 II 49</w:t>
      </w:r>
    </w:p>
    <w:p>
      <w:r>
        <w:t>IT: DTF 128 II 49</w:t>
      </w:r>
    </w:p>
    <w:p>
      <w:pPr>
        <w:pStyle w:val="Heading2"/>
      </w:pPr>
      <w:r>
        <w:t>Regeste</w:t>
      </w:r>
    </w:p>
    <w:p>
      <w:r>
        <w:t>Regeste Opferhilfe; Schadenersatz und Genugtuung bei Mitverschulden des Opfers. Art. 13 Abs. 1 und 2 OHG. Massgebliche Methode der Berechnung des Schadenersatzes, unter Berücksichtigung des erlittenen Netto-Erwerbsausfalles, des Einkommens des Opfers sowie des ihm anzurechnenden Mitverschuldens (E. 3). Art. 12 Abs. 2 OHG. Führt ein schweres Mitverschulden des Opfers, das allerdings den adäquaten Kausalzusammenhang zwischen der Straftat und dem erlittenen Schaden nicht unterbrochen hat, zum Wegfall des Genugtuungsanspruches oder bloss zu seiner Reduktion? Im vorliegenden Fall erscheint das Mitverschulden jedenfalls nicht ausreichend schwer, um jeglichen Genugtuungsanspruch zu verneinen (E. 4).</w:t>
      </w:r>
    </w:p>
    <w:p>
      <w:pPr>
        <w:pStyle w:val="Heading2"/>
      </w:pPr>
      <w:r>
        <w:t>Erwägungen</w:t>
      </w:r>
    </w:p>
    <w:p>
      <w:r>
        <w:rPr>
          <w:b/>
        </w:rPr>
        <w:t>E. 2</w:t>
      </w:r>
    </w:p>
    <w:p>
      <w:r>
        <w:t>Aux termes des art. 2 al. 1 et 11 al. 1 de la loi fédérale sur l'aide aux victimes d'infractions (ci-après: la loi fédérale ou LAVI; RS 312.5), celui qui est victime d'une infraction pénale et subit, de ce fait, une atteinte directe à son intégrité corporelle, sexuelle ou psychique, peut demander une indemnisation ou une réparation morale dans le canton où l'infraction a été commise. L'indemnité, qui n'excède en aucun cas 100'000 fr. ( art. 13 al. 3 LAVI , art. 4 al. 1 de l'ordonnance du 18 novembre 1992 sur l'aide aux victimes d'infractions [OAVI; RS 312.51]), est fixée en fonction du montant du dommage subi et des revenus de la victime; elle peut être réduite lorsque, par un comportement fautif, celle-ci a contribué dans une mesure importante à créer ou à aggraver ce dommage ( art. 13 al. 1 et 2 LAVI ). La réparation morale est due, elle, indépendamment du revenu de la victime, lorsque celle-ci subit une atteinte grave et que des circonstances particulières justifient cette réparation ( art. 12 al. 2 LAVI ). Dans la présente affaire, la qualité de victime du recourant, au sens de ces dispositions, n'est pas douteuse. L'indemnité et la réparation morale ne sont refusées qu'en raison de la faute concomitante imputée à la victime, faute que le recourant conteste intégralement.</w:t>
      </w:r>
    </w:p>
    <w:p>
      <w:r>
        <w:rPr>
          <w:b/>
        </w:rPr>
        <w:t>E. 3.1</w:t>
      </w:r>
    </w:p>
    <w:p>
      <w:r>
        <w:t>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Dans les autres cas, la faute BGE 128 II 49 S. 52 ne peut justifier qu'une réduction de l'indemnité, et cela seulement s'il s'agit d'une faute qualifiée, suffisamment grave au regard de l' art. 13 al. 2 LAVI . Dans son principe, cette disposition correspond à l' art. 44 al. 1 CO , mais elle n'a pas la même portée, en ce sens que la victime échappe à toute réduction si elle n'a commis qu'une faute moyenne ou légère ( ATF 123 II 210 consid. 3b p. 214; ATF 121 II 369 consid. 3c/aa p. 373 in fine, consid. 4c p. 375). En l'occurrence, le recourant a provoqué la rixe par des agressions verbales, puis il a aggravé la tension en exhibant une arme à feu; c'est toutefois par surprise que son adversaire a porté le coup à l'origine des blessures, en utilisant un objet massif et, donc, dangereux. Dans ces conditions, la faute concomitante est indéniable, et c'est en vain que le recourant persiste à se prétendre entièrement innocent. On ne peut toutefois pas retenir, contrairement à l'opinion du Tribunal administratif, que cette faute soit grave au point d'interrompre le rapport de causalité adéquate entre l'infraction et le dommage; en effet, le comportement de l'auteur, consistant à frapper par surprise et avec un objet massif, demeure un élément très important dans l'enchaînement des faits, qui n'apparaît pas relégué à l'arrière-plan. Par ailleurs, on ne saurait non plus retenir que le recourant ait commis seulement une faute moyenne ou légère, impropre à entraîner une réduction de l'indemnité selon l' art. 13 al. 2 LAVI ; au contraire, dans les circonstances de l'espèce, une telle réduction s'impose.</w:t>
      </w:r>
    </w:p>
    <w:p>
      <w:r>
        <w:rPr>
          <w:b/>
        </w:rPr>
        <w:t>E. 3.2</w:t>
      </w:r>
    </w:p>
    <w:p>
      <w:r>
        <w:t>Lorsque le dommage à réparer consiste dans une perte de gain, comme dans la présente affaire, l'application correcte du droit fédéral nécessite les opérations suivantes, dans cet ordre (arrêt 1A.252/2000 du 8 décembre 2000, consid. 2 et 3, in Zbl 102/2001 p. 486 ss; GOMM/STEIN/ZEHNTER, Kommentar zum Opferhilfegesetz, Berne 1995, n. 19 [exemple 4] ad art. 13, n. 29 et 30 ad art. 14 LAVI ): - évaluer l'atteinte à l'avenir économique selon les principes de l' art. 46 CO . Il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l'assurance-accidents, mais elle n'est pas liée par eux; - imputer, sur la perte de gain brute, les rentes d'invalidité, en particulier celle de l'assurance-accidents; - calculer le montant du dommage en capitalisant la perte de gain nette; BGE 128 II 49 S. 53 - appliquer l' art. 3 OAVI , en particulier la formule de l'art. 3 al. 3, pour déterminer le montant de l'indemnité brute d'après le montant du dommage et les revenus de la victime; la rente de l'assurance-accidents fait partie des revenus déterminants (cf. art. 12 al. 1 in fine LAVI) et entre donc en considération aussi à ce stade; - évaluer et appliquer le taux de réduction consécutif à la faute concomitante, selon l' art. 13 al. 2 LAVI (cf. GOMM/STEIN/ZEHNTER, op. cit., n. 34 ad art. 13 LAVI ); - enfin, déduire d'éventuelles autres prestations que la victime reçoit pour réparation du dommage, mais pas la rente de l'assurance-accidents, puisque celle-ci a déjà été prise en considération dans le calcul du dommage, puis à titre de revenu déterminant (art. 14 al. 1, 1re et 2e phrase, LAVI). Le raisonnement suivi par le Tribunal administratif ne respecte pas, même approximativement, ce schéma. En particulier, il est incorrect d'envisager une indemnisation calculée d'après la perte de gain brute, puis réduite en fonction de la faute concomitante, et réduite, encore, des prestations de l'assurance-accidents. En effet, ce procédé peut aboutir, comme en l'espèce, à refuser toute prestation en raison de cette faute, alors que celle-ci, si elle n'est pas lourde au point d'interrompre le rapport de causalité adéquate entre l'infraction et le dommage, ne doit entraîner qu'une réduction. Il convient donc d'admettre le recours, pour violation du droit fédéral, et de renvoyer la cause au Tribunal administratif. Le dossier ne contient que des données fragmentaires sur la situation économique du recourant, tant avant qu'après l'infraction; il incombera à cette juridiction, ou à l'autorité que celle-ci désignera, de constater les faits pertinents et de procéder aux évaluations nécessaires. Il s'agira, notamment, de déterminer le taux de réduction correspondant à la faute.</w:t>
      </w:r>
    </w:p>
    <w:p>
      <w:r>
        <w:rPr>
          <w:b/>
        </w:rPr>
        <w:t>E. 4</w:t>
      </w:r>
    </w:p>
    <w:p>
      <w:r>
        <w:t>&gt;</w:t>
      </w:r>
    </w:p>
    <w:p>
      <w:r>
        <w:rPr>
          <w:b/>
        </w:rPr>
        <w:t>E. 4.1</w:t>
      </w:r>
    </w:p>
    <w:p>
      <w:r>
        <w:t>L' art. 12 al. 2 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 en tenant compte, cependant, que le système d'indemnisation du dommage et du tort moral prévu par la loi fédérale répond à l'idée d'une prestation d'assistance et non pas à celle d'une responsabilité de l'Etat ( ATF 125 II 554 consid. 2a p. 555/556; ATF 123 II 425 consid. 4c p. 431). BGE 128 II 49 S. 54</w:t>
      </w:r>
    </w:p>
    <w:p>
      <w:r>
        <w:rPr>
          <w:b/>
        </w:rPr>
        <w:t>E. 4.2</w:t>
      </w:r>
    </w:p>
    <w:p>
      <w:r>
        <w:t>En ce qui concerne le rôle de la faute propre de la victime, le Tribunal fédéral a jugé qu'une réduction de la réparation morale peut intervenir non seulement en cas de faute grave, comme la réduction de la réparation du dommage, mais aussi en présence d'une faute légère ou moyenne ( ATF 123 II 210 consid. 3b p. 214; voir aussi ATF 124 II 8 consid. 5c p. 17; ATF 121 II 369 consid. 3 et 4 p. 372 et l'arrêt 1A.251/1999 du 30 mars 2000, consid. 3d). Pour le surplus, d'autres principes ont aussi été mis en évidence, qui n'étaient toutefois pas directement en cause dans les affaires concernées. Ainsi, deux arrêts indiquent clairement qu'un refus de toute réparation se justifie en cas de faute interruptive du rapport de causalité adéquate entre l'infraction et le dommage ( ATF 124 II 8 consid. 5c p. 17; ATF 121 II 369 consid. 4c p. 375). Il ressort aussi nettement des arrêts du Tribunal fédéral qu'une faute certes grave, mais pas au point d'interrompre le rapport de causalité adéquate, ne peut justifier qu'une réduction de la réparation morale et ne suffit pas à motiver un refus ( ATF 124 II 8 consid. 3d/bb p. 14, consid. 5c p. 17/18; ATF 121 II 369 , loc. cit.); cet élément-ci est aussi mentionné in ATF 123 II 210 consid. 3b/aa p. 214/215. Sur ce point, le Tribunal fédéral s'est simplement référé aux principes reconnus en matière de responsabilité civile, relatifs aux art. 47 et 44 CO ( ATF 123 II 210 , loc. cit.; ATF 121 II 369 , loc. cit.). La pratique actuelle, concernant la portée de la faute concomitante par rapport à l' art. 47 CO , a son origine dans un arrêt de la Ire Cour civile du 11 décembre 1990 ( ATF 116 II 733 ). Le Tribunal fédéral a alors retenu que la réparation morale consécutive à des lésions corporelles ou à une mort d'homme est un cas d'application de l' art. 49 CO ; que cette disposition-ci, dans sa teneur entrée en vigueur le 1er janvier 1985, ne faisait plus dépendre la réparation morale d'une faute particulièrement grave du responsable; qu'il n'existait donc plus de différence entre l'action en réparation du tort moral et celle en dommages-intérêts, hormis la nature du préjudice subi; que par conséquent, enfin, plus rien ne s'opposait à l'allocation d'une indemnité pour tort moral même en cas de faute prépondérante du lésé (consid. 4f p. 734). La faute de celui-ci ne devait plus être prise en considération, désormais, que dans le cadre de l' art. 44 al. 1 CO (consid. 4g p. 735). Cette jurisprudence a été, ensuite, confirmée dans divers arrêts ( ATF 117 II 50 consid. 4a/bb p. 60; ATF 123 III 306 consid. 9b p. 315/316; ATF 124 III 182 consid. 4d p. 186).</w:t>
      </w:r>
    </w:p>
    <w:p>
      <w:r>
        <w:rPr>
          <w:b/>
        </w:rPr>
        <w:t>E. 4.3</w:t>
      </w:r>
    </w:p>
    <w:p>
      <w:r>
        <w:t>Il n'est pas d'emblée certain que ces considérations soient aussi déterminantes pour l'application de l' art. 12 al. 2 LAVI . Certes, BGE 128 II 49 S. 55 le texte de cette disposition est très semblable à ceux des art. 47 et 49 CO , mais ces derniers déterminent les prestations à verser par le responsable de l'atteinte, alors que la collectivité publique n'est, comme on l'a rappelé, pas responsable des conséquences d'une infraction; elle a seulement un devoir d'assistance envers la victime. La collectivité n'est donc pas nécessairement tenue à des prestations aussi étendues que celles exigibles, en principe, de l'auteur de l'infraction. Le Tribunal fédéral a déjà souligné, également, que le tort moral ne peut pas être estimé rigoureusement et mathématiquement, comme le dommage matériel, et que la décision d'accorder une réparation morale, de même que l'évaluation de son montant, relèvent surtout de l'équité ( ATF 123 II 210 consid. 3b/cc p. 215/216). Il a même expressément envisagé que le refus de cette réparation puisse se justifier par des considérations d'équité propres au système d'indemnisation de la loi fédérale ( ATF 121 II 369 consid. 4b p. 375 in medio). On peut donc concevoir que la collectivité publique soit exonérée de son devoir d'assistance, en ce qui concerne le tort moral, envers une victime qui, par une faute lourde, a contribué à la survenance de l'atteinte, alors même que cette faute n'est pas assez intense pour entraîner la rupture du lien de causalité adéquate. Il y a ici conflit entre, d'une part, le principe selon lequel il faut tenir compte de la spécificité du régime d'indemnisation par l'Etat ( ATF 125 II 554 consid. 2a p. 555/556; ATF 123 II 425 consid. 4c p. 431), et, d'autre part, le principe qui requiert d'éviter autant que possible des divergences trop importantes entre le régime d'indemnisation des victimes d'infractions et celui de la responsabilité civile ( ATF 123 II 210 consid. 3b/dd p. 216; voir aussi ATF 125 II 169 consid. 2b p. 173). Cette question n'a toutefois pas besoin d'être résolue dans la cause du recourant car, de toute manière, la faute commise par lui ne semble pas suffisamment lourde pour justifier une pareille exonération. A plus forte raison, comme on l'a déjà vu, cette faute n'interrompt pas le lien de causalité adéquate. C'est donc aussi à tort, en violation du droit fédéral, que la juridiction cantonale a refusé d'emblée toute indemnité pour tort moral. Cependant, lorsque la victime reçoit une indemnité pour atteinte à l'intégrité, selon l'art. 24 de la loi fédérale du 20 mars 1981 sur l'assurance-accidents (RS 832.20), l'autorité doit examiner s'il se justifie, au regard de l'ensemble des circonstances, que cette victime reçoive en plus une réparation morale selon l' art. 12 al. 2 LAVI ( ATF 125 II 169 ). Il incombera donc au Tribunal administratif de procéder à cette évaluation, BGE 128 II 49 S. 56 compte tenu des handicaps dont le recourant demeure affecté, sur lesquels le dossier ne contient que des renseignements sommaires, et de la faute qu'il a commise; le cas échéant, ce tribunal déterminera le montant à verser.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